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9050" distT="19050" distL="19050" distR="19050">
            <wp:extent cx="6800850" cy="1419225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pct"/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5388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ffffff"/>
                <w:shd w:fill="5388b4" w:val="clear"/>
              </w:rPr>
            </w:pPr>
            <w:r w:rsidDel="00000000" w:rsidR="00000000" w:rsidRPr="00000000">
              <w:rPr>
                <w:b w:val="1"/>
                <w:color w:val="ffffff"/>
                <w:shd w:fill="5388b4" w:val="clear"/>
                <w:rtl w:val="0"/>
              </w:rPr>
              <w:t xml:space="preserve">April 2013</w:t>
            </w:r>
          </w:p>
        </w:tc>
        <w:tc>
          <w:tcPr>
            <w:shd w:fill="5388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color w:val="ffffff"/>
                <w:shd w:fill="5388b4" w:val="clear"/>
              </w:rPr>
            </w:pPr>
            <w:r w:rsidDel="00000000" w:rsidR="00000000" w:rsidRPr="00000000">
              <w:rPr>
                <w:b w:val="1"/>
                <w:color w:val="ffffff"/>
                <w:shd w:fill="5388b4" w:val="clear"/>
                <w:rtl w:val="0"/>
              </w:rPr>
              <w:t xml:space="preserve">Air Cadet Central Edition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Ind w:w="100.0" w:type="pct"/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color w:val="434343"/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i w:val="1"/>
                <w:color w:val="434343"/>
                <w:sz w:val="18"/>
                <w:szCs w:val="18"/>
                <w:shd w:fill="ffe599" w:val="clear"/>
                <w:rtl w:val="0"/>
              </w:rPr>
              <w:t xml:space="preserve">This guide is intended as a handy summary and a starting point for further research into a subject.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color w:val="434343"/>
                <w:sz w:val="18"/>
                <w:szCs w:val="18"/>
                <w:shd w:fill="ffe599" w:val="clear"/>
              </w:rPr>
            </w:pPr>
            <w:r w:rsidDel="00000000" w:rsidR="00000000" w:rsidRPr="00000000">
              <w:rPr>
                <w:b w:val="1"/>
                <w:i w:val="1"/>
                <w:color w:val="434343"/>
                <w:sz w:val="18"/>
                <w:szCs w:val="18"/>
                <w:shd w:fill="ffe599" w:val="clear"/>
                <w:rtl w:val="0"/>
              </w:rPr>
              <w:t xml:space="preserve">Always consult current official policy before undertaking training.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0.0" w:type="pct"/>
        <w:tblLayout w:type="fixed"/>
        <w:tblLook w:val="0600"/>
      </w:tblPr>
      <w:tblGrid>
        <w:gridCol w:w="7065"/>
        <w:gridCol w:w="3705"/>
        <w:tblGridChange w:id="0">
          <w:tblGrid>
            <w:gridCol w:w="7065"/>
            <w:gridCol w:w="3705"/>
          </w:tblGrid>
        </w:tblGridChange>
      </w:tblGrid>
      <w:tr>
        <w:trPr>
          <w:trHeight w:val="228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Clay target shooting is an authorised cadet activity run under the </w:t>
              <w:br w:type="textWrapping"/>
              <w:t xml:space="preserve">civilian </w:t>
            </w:r>
            <w:r w:rsidDel="00000000" w:rsidR="00000000" w:rsidRPr="00000000">
              <w:rPr>
                <w:b w:val="1"/>
                <w:rtl w:val="0"/>
              </w:rPr>
              <w:t xml:space="preserve">Clay Pigeon Shooting Association</w:t>
            </w:r>
            <w:r w:rsidDel="00000000" w:rsidR="00000000" w:rsidRPr="00000000">
              <w:rPr>
                <w:rtl w:val="0"/>
              </w:rPr>
              <w:t xml:space="preserve"> (CPSA) rules.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means that you do not require the normal shooting qualifications required by Pam 21-C (eg. SA(SR)07 or SAAI).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policy can be found in a letter from HQ Land Forces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hd w:fill="d9d9d9" w:val="clear"/>
              </w:rPr>
            </w:pPr>
            <w:r w:rsidDel="00000000" w:rsidR="00000000" w:rsidRPr="00000000">
              <w:rPr>
                <w:shd w:fill="d9d9d9" w:val="clear"/>
                <w:rtl w:val="0"/>
              </w:rPr>
              <w:t xml:space="preserve">In this guide: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sdt>
            <w:sdtPr>
              <w:docPartObj>
                <w:docPartGallery w:val="Table of Contents"/>
                <w:docPartUnique w:val="1"/>
              </w:docPartObj>
            </w:sdtPr>
            <w:sdtContent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ind w:left="360" w:firstLine="0"/>
                  <w:contextualSpacing w:val="0"/>
                  <w:rPr>
                    <w:color w:val="1155cc"/>
                    <w:u w:val="single"/>
                  </w:rPr>
                </w:pPr>
                <w:r w:rsidDel="00000000" w:rsidR="00000000" w:rsidRPr="00000000">
                  <w:fldChar w:fldCharType="begin"/>
                  <w:instrText xml:space="preserve"> TOC \h \u \z \n </w:instrText>
                  <w:fldChar w:fldCharType="separate"/>
                </w:r>
                <w:hyperlink w:anchor="_y996e5d50seq">
                  <w:r w:rsidDel="00000000" w:rsidR="00000000" w:rsidRPr="00000000">
                    <w:rPr>
                      <w:color w:val="1155cc"/>
                      <w:u w:val="single"/>
                      <w:rtl w:val="0"/>
                    </w:rPr>
                    <w:t xml:space="preserve">1. Courses and qualifications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ind w:left="360" w:firstLine="0"/>
                  <w:contextualSpacing w:val="0"/>
                  <w:rPr>
                    <w:color w:val="1155cc"/>
                    <w:u w:val="single"/>
                  </w:rPr>
                </w:pPr>
                <w:hyperlink w:anchor="_roprjevw6iys">
                  <w:r w:rsidDel="00000000" w:rsidR="00000000" w:rsidRPr="00000000">
                    <w:rPr>
                      <w:color w:val="1155cc"/>
                      <w:u w:val="single"/>
                      <w:rtl w:val="0"/>
                    </w:rPr>
                    <w:t xml:space="preserve">2. Equipment and costs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ind w:left="360" w:firstLine="0"/>
                  <w:contextualSpacing w:val="0"/>
                  <w:rPr>
                    <w:color w:val="1155cc"/>
                    <w:u w:val="single"/>
                  </w:rPr>
                </w:pPr>
                <w:hyperlink w:anchor="_hcsotydqi4rx">
                  <w:r w:rsidDel="00000000" w:rsidR="00000000" w:rsidRPr="00000000">
                    <w:rPr>
                      <w:color w:val="1155cc"/>
                      <w:u w:val="single"/>
                      <w:rtl w:val="0"/>
                    </w:rPr>
                    <w:t xml:space="preserve">3. Competitions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ind w:left="360" w:firstLine="0"/>
                  <w:contextualSpacing w:val="0"/>
                  <w:rPr>
                    <w:color w:val="1155cc"/>
                    <w:u w:val="single"/>
                  </w:rPr>
                </w:pPr>
                <w:hyperlink w:anchor="_xcjmanfeq7v7">
                  <w:r w:rsidDel="00000000" w:rsidR="00000000" w:rsidRPr="00000000">
                    <w:rPr>
                      <w:color w:val="1155cc"/>
                      <w:u w:val="single"/>
                      <w:rtl w:val="0"/>
                    </w:rPr>
                    <w:t xml:space="preserve">4. Summary</w:t>
                  </w:r>
                </w:hyperlink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fldChar w:fldCharType="end"/>
                </w:r>
              </w:p>
            </w:sdtContent>
          </w:sdt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Rule="auto"/>
        <w:contextualSpacing w:val="0"/>
        <w:rPr/>
      </w:pPr>
      <w:bookmarkStart w:colFirst="0" w:colLast="0" w:name="_y996e5d50seq" w:id="0"/>
      <w:bookmarkEnd w:id="0"/>
      <w:r w:rsidDel="00000000" w:rsidR="00000000" w:rsidRPr="00000000">
        <w:rPr>
          <w:rtl w:val="0"/>
        </w:rPr>
        <w:t xml:space="preserve">1. Courses and qualifications</w:t>
      </w:r>
    </w:p>
    <w:tbl>
      <w:tblPr>
        <w:tblStyle w:val="Table4"/>
        <w:tblW w:w="10620.0" w:type="dxa"/>
        <w:jc w:val="left"/>
        <w:tblInd w:w="0.0" w:type="pct"/>
        <w:tblLayout w:type="fixed"/>
        <w:tblLook w:val="0600"/>
      </w:tblPr>
      <w:tblGrid>
        <w:gridCol w:w="2535"/>
        <w:gridCol w:w="8085"/>
        <w:tblGridChange w:id="0">
          <w:tblGrid>
            <w:gridCol w:w="2535"/>
            <w:gridCol w:w="8085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352550" cy="1533525"/>
                  <wp:effectExtent b="0" l="0" r="0" t="0"/>
                  <wp:docPr id="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CPSA runs its own courses which enable you to become competent in shotgun handling, running a clay target range and coaching technique.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get started, you need to attend a </w:t>
            </w:r>
            <w:r w:rsidDel="00000000" w:rsidR="00000000" w:rsidRPr="00000000">
              <w:rPr>
                <w:b w:val="1"/>
                <w:rtl w:val="0"/>
              </w:rPr>
              <w:t xml:space="preserve">Shotgun Skills Course</w:t>
            </w:r>
            <w:r w:rsidDel="00000000" w:rsidR="00000000" w:rsidRPr="00000000">
              <w:rPr>
                <w:rtl w:val="0"/>
              </w:rPr>
              <w:t xml:space="preserve"> (1 day) to gain your basic proficiency in handling shotguns and elementary shooting technique.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is then followed by a </w:t>
            </w:r>
            <w:r w:rsidDel="00000000" w:rsidR="00000000" w:rsidRPr="00000000">
              <w:rPr>
                <w:b w:val="1"/>
                <w:rtl w:val="0"/>
              </w:rPr>
              <w:t xml:space="preserve">Safety Officers Course</w:t>
            </w:r>
            <w:r w:rsidDel="00000000" w:rsidR="00000000" w:rsidRPr="00000000">
              <w:rPr>
                <w:rtl w:val="0"/>
              </w:rPr>
              <w:t xml:space="preserve"> (1 day) which entitles you to run a clay target range. Note that this qualification does not allow you to ‘coach’ to improve technique, it only allows you  to safely run a range.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0.0" w:type="pct"/>
        <w:tblLayout w:type="fixed"/>
        <w:tblLook w:val="0600"/>
      </w:tblPr>
      <w:tblGrid>
        <w:gridCol w:w="6585"/>
        <w:gridCol w:w="4185"/>
        <w:tblGridChange w:id="0">
          <w:tblGrid>
            <w:gridCol w:w="6585"/>
            <w:gridCol w:w="41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Completion of an </w:t>
            </w:r>
            <w:r w:rsidDel="00000000" w:rsidR="00000000" w:rsidRPr="00000000">
              <w:rPr>
                <w:b w:val="1"/>
                <w:rtl w:val="0"/>
              </w:rPr>
              <w:t xml:space="preserve">Instructor Development Workshop</w:t>
            </w:r>
            <w:r w:rsidDel="00000000" w:rsidR="00000000" w:rsidRPr="00000000">
              <w:rPr>
                <w:rtl w:val="0"/>
              </w:rPr>
              <w:t xml:space="preserve"> (1 day) makes you eligible to attend a </w:t>
            </w:r>
            <w:r w:rsidDel="00000000" w:rsidR="00000000" w:rsidRPr="00000000">
              <w:rPr>
                <w:b w:val="1"/>
                <w:rtl w:val="0"/>
              </w:rPr>
              <w:t xml:space="preserve">Level 1 Instructor Course</w:t>
            </w:r>
            <w:r w:rsidDel="00000000" w:rsidR="00000000" w:rsidRPr="00000000">
              <w:rPr>
                <w:rtl w:val="0"/>
              </w:rPr>
              <w:t xml:space="preserve"> (5 days), which allows you to coach technique.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Army Rifle Association (ARA) runs a variety of courses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which are open to all CFAVs and are very competitively priced. Course dates are published annually in a Defence Instructional Notice (DIN) which your WHQ should be able to obtain for you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505075" cy="1676400"/>
                  <wp:effectExtent b="0" l="0" r="0" t="0"/>
                  <wp:docPr id="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vfmdclktt7k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fz6icgj4wj0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Ind w:w="0.0" w:type="pct"/>
        <w:tblLayout w:type="fixed"/>
        <w:tblLook w:val="0600"/>
      </w:tblPr>
      <w:tblGrid>
        <w:gridCol w:w="7785"/>
        <w:gridCol w:w="2985"/>
        <w:tblGridChange w:id="0">
          <w:tblGrid>
            <w:gridCol w:w="7785"/>
            <w:gridCol w:w="29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roprjevw6iys" w:id="3"/>
            <w:bookmarkEnd w:id="3"/>
            <w:r w:rsidDel="00000000" w:rsidR="00000000" w:rsidRPr="00000000">
              <w:rPr>
                <w:rtl w:val="0"/>
              </w:rPr>
              <w:t xml:space="preserve">2. Equipment and costs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get started you will need a budget of </w:t>
            </w:r>
            <w:r w:rsidDel="00000000" w:rsidR="00000000" w:rsidRPr="00000000">
              <w:rPr>
                <w:b w:val="1"/>
                <w:rtl w:val="0"/>
              </w:rPr>
              <w:t xml:space="preserve">between £1500 and £2000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will allow you to purchase: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A good-quality single-stack electric clay target trap.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This avoids safe handling issues associated with manual traps.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One or two shotguns (normally second hand).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PPE such as glasses/caps.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Cleaning kit.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A starting box of clays.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Ammunition.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can spend more, and get more capability, but this is a typical basic setup cost. A reasonable condition 12-bore shotgun can be had for around £500.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Squadrons purchasing shotguns must do so under </w:t>
            </w:r>
            <w:r w:rsidDel="00000000" w:rsidR="00000000" w:rsidRPr="00000000">
              <w:rPr>
                <w:b w:val="1"/>
                <w:rtl w:val="0"/>
              </w:rPr>
              <w:t xml:space="preserve">Non-Service Weapons</w:t>
            </w:r>
            <w:r w:rsidDel="00000000" w:rsidR="00000000" w:rsidRPr="00000000">
              <w:rPr>
                <w:rtl w:val="0"/>
              </w:rPr>
              <w:t xml:space="preserve"> arrangements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  <w:t xml:space="preserve">, which includes a requirement for annual servicing.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Corps SME on Clay Target shooting is Flt Lt Allan White, who is part of the Corps Shooting Development Team (Clay Target).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809750" cy="1343025"/>
                  <wp:effectExtent b="0" l="0" r="0" t="0"/>
                  <wp:docPr id="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43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819275" cy="1209675"/>
                  <wp:effectExtent b="0" l="0" r="0" t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819275" cy="1028700"/>
                  <wp:effectExtent b="0" l="0" r="0" t="0"/>
                  <wp:docPr id="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Rule="auto"/>
        <w:contextualSpacing w:val="0"/>
        <w:rPr/>
      </w:pPr>
      <w:bookmarkStart w:colFirst="0" w:colLast="0" w:name="_hcsotydqi4rx" w:id="4"/>
      <w:bookmarkEnd w:id="4"/>
      <w:r w:rsidDel="00000000" w:rsidR="00000000" w:rsidRPr="00000000">
        <w:rPr>
          <w:rtl w:val="0"/>
        </w:rPr>
        <w:t xml:space="preserve">3. Competitions</w:t>
      </w:r>
    </w:p>
    <w:tbl>
      <w:tblPr>
        <w:tblStyle w:val="Table7"/>
        <w:tblW w:w="10770.0" w:type="dxa"/>
        <w:jc w:val="left"/>
        <w:tblInd w:w="0.0" w:type="pct"/>
        <w:tblLayout w:type="fixed"/>
        <w:tblLook w:val="0600"/>
      </w:tblPr>
      <w:tblGrid>
        <w:gridCol w:w="2370"/>
        <w:gridCol w:w="8400"/>
        <w:tblGridChange w:id="0">
          <w:tblGrid>
            <w:gridCol w:w="2370"/>
            <w:gridCol w:w="84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1304925" cy="1304925"/>
                  <wp:effectExtent b="0" l="0" r="0" t="0"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cadet Clay Target Shooting competition is held annually as an inter-service match against the Sea Cadets and Army Cadets. Teams consist of 4 cadets of any gender who can demonstrate that they have passed the Shotgun Handling Test (delivered by CPSA safety officers). Costs are in the region of £100 per team of 4, plus messing contributions.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Competition details are published annually by the </w:t>
            </w:r>
            <w:r w:rsidDel="00000000" w:rsidR="00000000" w:rsidRPr="00000000">
              <w:rPr>
                <w:b w:val="1"/>
                <w:rtl w:val="0"/>
              </w:rPr>
              <w:t xml:space="preserve">Council For Cadet Rifle Shooting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bookmarkStart w:colFirst="0" w:colLast="0" w:name="_wu5rxkyrw6ip" w:id="5"/>
      <w:bookmarkEnd w:id="5"/>
      <w:r w:rsidDel="00000000" w:rsidR="00000000" w:rsidRPr="00000000">
        <w:rPr>
          <w:rtl w:val="0"/>
        </w:rPr>
        <w:t xml:space="preserve">4. Summary</w:t>
      </w:r>
    </w:p>
    <w:tbl>
      <w:tblPr>
        <w:tblStyle w:val="Table8"/>
        <w:tblW w:w="10774.0" w:type="dxa"/>
        <w:jc w:val="left"/>
        <w:tblInd w:w="100.0" w:type="pct"/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228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Shotgun Skills course.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 Safety Officer course.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Raise funds and obtain your equipment.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Locate a CPSA or MOD shotgun range.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 your cadets in shotgun handling.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 shooting!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LF/PSC/Cadets1001 dated 25 October 2011: Policy for Clay Target Shooting by Cadets.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LF/PSC/Cadets1001 dated 25 October 2011: Policy for Clay Target Shooting by Cadets.</w:t>
        </w:r>
      </w:hyperlink>
      <w:r w:rsidDel="00000000" w:rsidR="00000000" w:rsidRPr="00000000">
        <w:rPr>
          <w:sz w:val="20"/>
          <w:szCs w:val="20"/>
          <w:rtl w:val="0"/>
        </w:rPr>
        <w:t xml:space="preserve"> Enclosures 1-4.</w:t>
      </w:r>
    </w:p>
  </w:footnote>
  <w:footnote w:id="3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ACP 26: Security Of Arms And Ammunition (Restricted).</w:t>
      </w:r>
    </w:p>
  </w:footnote>
  <w:footnote w:id="4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80/21 dated 7 February 2013: National Cadet Clay Target Shooting Championships 2013.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2013DIN10-002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10.jpg"/><Relationship Id="rId13" Type="http://schemas.openxmlformats.org/officeDocument/2006/relationships/footer" Target="footer1.xml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1.jpg"/><Relationship Id="rId8" Type="http://schemas.openxmlformats.org/officeDocument/2006/relationships/image" Target="media/image6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harepoint.bader.mod.uk/ACO%20Document%20Library/Activities/Shooting/Clay%20Target/Clay%20Target%20Shooting%20Policy%2025%20Oct%2011.doc" TargetMode="External"/><Relationship Id="rId2" Type="http://schemas.openxmlformats.org/officeDocument/2006/relationships/hyperlink" Target="https://sharepoint.bader.mod.uk/ACO%20Document%20Library/Activities/Shooting/Clay%20Target/Clay%20Target%20Shooting%20Policy%2025%20Oct%2011.doc" TargetMode="External"/><Relationship Id="rId3" Type="http://schemas.openxmlformats.org/officeDocument/2006/relationships/hyperlink" Target="https://sharepoint.bader.mod.uk/ACO%20Document%20Library/Activities/Shooting/Clay%20Target/Clay%20Target%20Competition%202013.doc" TargetMode="External"/></Relationships>
</file>