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sz w:val="16"/>
          <w:szCs w:val="16"/>
        </w:rPr>
      </w:pPr>
      <w:r w:rsidDel="00000000" w:rsidR="00000000" w:rsidRPr="00000000">
        <w:rPr>
          <w:sz w:val="16"/>
          <w:szCs w:val="16"/>
        </w:rPr>
        <w:drawing>
          <wp:inline distB="19050" distT="19050" distL="19050" distR="19050">
            <wp:extent cx="6800850" cy="1419225"/>
            <wp:effectExtent b="0" l="0" r="0" t="0"/>
            <wp:docPr id="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6800850" cy="1419225"/>
                    </a:xfrm>
                    <a:prstGeom prst="rect"/>
                    <a:ln/>
                  </pic:spPr>
                </pic:pic>
              </a:graphicData>
            </a:graphic>
          </wp:inline>
        </w:drawing>
      </w:r>
      <w:r w:rsidDel="00000000" w:rsidR="00000000" w:rsidRPr="00000000">
        <w:rPr>
          <w:rtl w:val="0"/>
        </w:rPr>
      </w:r>
    </w:p>
    <w:tbl>
      <w:tblPr>
        <w:tblStyle w:val="Table1"/>
        <w:jc w:val="left"/>
        <w:tblInd w:w="100.0" w:type="pct"/>
        <w:tblLayout w:type="fixed"/>
        <w:tblLook w:val="0600"/>
      </w:tblPr>
      <w:tblGrid>
        <w:gridCol w:w="5387"/>
        <w:gridCol w:w="5387"/>
        <w:tblGridChange w:id="0">
          <w:tblGrid>
            <w:gridCol w:w="5387"/>
            <w:gridCol w:w="5387"/>
          </w:tblGrid>
        </w:tblGridChange>
      </w:tblGrid>
      <w:tr>
        <w:tc>
          <w:tcPr>
            <w:shd w:fill="5388b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d90931"/>
                <w:shd w:fill="5388b4" w:val="clear"/>
              </w:rPr>
            </w:pPr>
            <w:r w:rsidDel="00000000" w:rsidR="00000000" w:rsidRPr="00000000">
              <w:rPr>
                <w:b w:val="1"/>
                <w:color w:val="ffffff"/>
                <w:shd w:fill="5388b4" w:val="clear"/>
                <w:rtl w:val="0"/>
              </w:rPr>
              <w:t xml:space="preserve">April 2014</w:t>
            </w:r>
            <w:r w:rsidDel="00000000" w:rsidR="00000000" w:rsidRPr="00000000">
              <w:rPr>
                <w:rtl w:val="0"/>
              </w:rPr>
            </w:r>
          </w:p>
        </w:tc>
        <w:tc>
          <w:tcPr>
            <w:shd w:fill="5388b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ffffff"/>
                <w:shd w:fill="5388b4" w:val="clear"/>
              </w:rPr>
            </w:pPr>
            <w:hyperlink r:id="rId7">
              <w:r w:rsidDel="00000000" w:rsidR="00000000" w:rsidRPr="00000000">
                <w:rPr>
                  <w:b w:val="1"/>
                  <w:color w:val="efefef"/>
                  <w:u w:val="single"/>
                  <w:shd w:fill="5388b4" w:val="clear"/>
                  <w:rtl w:val="0"/>
                </w:rPr>
                <w:t xml:space="preserve">Air Cadet Central</w:t>
              </w:r>
            </w:hyperlink>
            <w:r w:rsidDel="00000000" w:rsidR="00000000" w:rsidRPr="00000000">
              <w:rPr>
                <w:b w:val="1"/>
                <w:color w:val="ffffff"/>
                <w:shd w:fill="5388b4" w:val="clear"/>
                <w:rtl w:val="0"/>
              </w:rPr>
              <w:t xml:space="preserve"> Edition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jc w:val="left"/>
        <w:tblInd w:w="100.0" w:type="pct"/>
        <w:tblLayout w:type="fixed"/>
        <w:tblLook w:val="0600"/>
      </w:tblPr>
      <w:tblGrid>
        <w:gridCol w:w="10774"/>
        <w:tblGridChange w:id="0">
          <w:tblGrid>
            <w:gridCol w:w="10774"/>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color w:val="434343"/>
                <w:sz w:val="18"/>
                <w:szCs w:val="18"/>
                <w:shd w:fill="ffe599" w:val="clear"/>
              </w:rPr>
            </w:pPr>
            <w:r w:rsidDel="00000000" w:rsidR="00000000" w:rsidRPr="00000000">
              <w:rPr>
                <w:i w:val="1"/>
                <w:color w:val="434343"/>
                <w:sz w:val="18"/>
                <w:szCs w:val="18"/>
                <w:shd w:fill="ffe599" w:val="clear"/>
                <w:rtl w:val="0"/>
              </w:rPr>
              <w:t xml:space="preserve">This guide is intended as a handy summary and a starting point for further research into a subject.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i w:val="1"/>
                <w:color w:val="434343"/>
                <w:sz w:val="18"/>
                <w:szCs w:val="18"/>
                <w:shd w:fill="ffe599" w:val="clear"/>
              </w:rPr>
            </w:pPr>
            <w:r w:rsidDel="00000000" w:rsidR="00000000" w:rsidRPr="00000000">
              <w:rPr>
                <w:b w:val="1"/>
                <w:i w:val="1"/>
                <w:color w:val="434343"/>
                <w:sz w:val="18"/>
                <w:szCs w:val="18"/>
                <w:shd w:fill="ffe599" w:val="clear"/>
                <w:rtl w:val="0"/>
              </w:rPr>
              <w:t xml:space="preserve">Always consult current official policy before undertaking training.</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755.0" w:type="dxa"/>
        <w:jc w:val="left"/>
        <w:tblInd w:w="0.0" w:type="pct"/>
        <w:tblLayout w:type="fixed"/>
        <w:tblLook w:val="0600"/>
      </w:tblPr>
      <w:tblGrid>
        <w:gridCol w:w="7800"/>
        <w:gridCol w:w="2955"/>
        <w:tblGridChange w:id="0">
          <w:tblGrid>
            <w:gridCol w:w="7800"/>
            <w:gridCol w:w="295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First aid training in the ACO is conducted in partnership with the British Heart Foundation (BHF) and St John Ambulance (SJA). Training is available to cadets and staff at several different levels.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First aid cover is required for most cadet activities, and provides useful skills </w:t>
              <w:br w:type="textWrapping"/>
              <w:t xml:space="preserve">and qualifications for cadets and staff.</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In this guide: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c7y69izalvvl">
                  <w:r w:rsidDel="00000000" w:rsidR="00000000" w:rsidRPr="00000000">
                    <w:rPr>
                      <w:color w:val="1155cc"/>
                      <w:u w:val="single"/>
                      <w:rtl w:val="0"/>
                    </w:rPr>
                    <w:t xml:space="preserve">1. Heartstart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o1bfblmjt3o1">
                  <w:r w:rsidDel="00000000" w:rsidR="00000000" w:rsidRPr="00000000">
                    <w:rPr>
                      <w:color w:val="1155cc"/>
                      <w:u w:val="single"/>
                      <w:rtl w:val="0"/>
                    </w:rPr>
                    <w:t xml:space="preserve">2. Youth First Aid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z72sfca3617y">
                  <w:r w:rsidDel="00000000" w:rsidR="00000000" w:rsidRPr="00000000">
                    <w:rPr>
                      <w:color w:val="1155cc"/>
                      <w:u w:val="single"/>
                      <w:rtl w:val="0"/>
                    </w:rPr>
                    <w:t xml:space="preserve">3. Activity First Aid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16"/>
                <w:szCs w:val="16"/>
              </w:rPr>
            </w:pPr>
            <w:r w:rsidDel="00000000" w:rsidR="00000000" w:rsidRPr="00000000">
              <w:rPr>
                <w:rtl w:val="0"/>
              </w:rPr>
            </w:r>
          </w:p>
        </w:tc>
      </w:tr>
    </w:tbl>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c7y69izalvvl" w:id="0"/>
      <w:bookmarkEnd w:id="0"/>
      <w:r w:rsidDel="00000000" w:rsidR="00000000" w:rsidRPr="00000000">
        <w:rPr>
          <w:rtl w:val="0"/>
        </w:rPr>
        <w:t xml:space="preserve">1. Heartstart</w:t>
      </w:r>
    </w:p>
    <w:tbl>
      <w:tblPr>
        <w:tblStyle w:val="Table4"/>
        <w:tblW w:w="10770.0" w:type="dxa"/>
        <w:jc w:val="left"/>
        <w:tblInd w:w="0.0" w:type="pct"/>
        <w:tblLayout w:type="fixed"/>
        <w:tblLook w:val="0600"/>
      </w:tblPr>
      <w:tblGrid>
        <w:gridCol w:w="9150"/>
        <w:gridCol w:w="1620"/>
        <w:tblGridChange w:id="0">
          <w:tblGrid>
            <w:gridCol w:w="9150"/>
            <w:gridCol w:w="16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Heartstart is an initiative co-ordinated by the BHF to teach members of the public what to do in a life-threatening emergency: “simple skills that save lives”.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It can be delivered in</w:t>
            </w:r>
            <w:r w:rsidDel="00000000" w:rsidR="00000000" w:rsidRPr="00000000">
              <w:rPr>
                <w:rtl w:val="0"/>
              </w:rPr>
              <w:t xml:space="preserve"> a minimum of 2 hours</w:t>
            </w:r>
            <w:r w:rsidDel="00000000" w:rsidR="00000000" w:rsidRPr="00000000">
              <w:rPr>
                <w:rtl w:val="0"/>
              </w:rPr>
              <w:t xml:space="preserve">, but is usually delivered over </w:t>
            </w:r>
            <w:r w:rsidDel="00000000" w:rsidR="00000000" w:rsidRPr="00000000">
              <w:rPr>
                <w:b w:val="1"/>
                <w:rtl w:val="0"/>
              </w:rPr>
              <w:t xml:space="preserve">two parade nights</w:t>
            </w:r>
            <w:r w:rsidDel="00000000" w:rsidR="00000000" w:rsidRPr="00000000">
              <w:rPr>
                <w:rtl w:val="0"/>
              </w:rPr>
              <w:t xml:space="preserve"> to give participants time to practice. It is divided into two stages: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right"/>
              <w:rPr>
                <w:sz w:val="24"/>
                <w:szCs w:val="24"/>
              </w:rPr>
            </w:pPr>
            <w:r w:rsidDel="00000000" w:rsidR="00000000" w:rsidRPr="00000000">
              <w:rPr>
                <w:sz w:val="24"/>
                <w:szCs w:val="24"/>
              </w:rPr>
              <w:drawing>
                <wp:inline distB="114300" distT="114300" distL="114300" distR="114300">
                  <wp:extent cx="800100" cy="1047750"/>
                  <wp:effectExtent b="0" l="0" r="0" t="0"/>
                  <wp:docPr id="4"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800100" cy="1047750"/>
                          </a:xfrm>
                          <a:prstGeom prst="rect"/>
                          <a:ln/>
                        </pic:spPr>
                      </pic:pic>
                    </a:graphicData>
                  </a:graphic>
                </wp:inline>
              </w:drawing>
            </w:r>
            <w:r w:rsidDel="00000000" w:rsidR="00000000" w:rsidRPr="00000000">
              <w:rPr>
                <w:rtl w:val="0"/>
              </w:rPr>
            </w:r>
          </w:p>
        </w:tc>
      </w:tr>
    </w:tbl>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Stage 1 develops practical skills including the recovery position, and performing CPR.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Stage 2 looks at heart attack signs and symptoms, choking, and serious bleeding.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short additional (optional) module covers the use of Automated External Defibrillators (AEDs).</w:t>
      </w:r>
    </w:p>
    <w:tbl>
      <w:tblPr>
        <w:tblStyle w:val="Table5"/>
        <w:tblW w:w="10770.0" w:type="dxa"/>
        <w:jc w:val="left"/>
        <w:tblInd w:w="100.0" w:type="pct"/>
        <w:tblLayout w:type="fixed"/>
        <w:tblLook w:val="0600"/>
      </w:tblPr>
      <w:tblGrid>
        <w:gridCol w:w="2340"/>
        <w:gridCol w:w="8430"/>
        <w:tblGridChange w:id="0">
          <w:tblGrid>
            <w:gridCol w:w="2340"/>
            <w:gridCol w:w="8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drawing>
                <wp:inline distB="114300" distT="114300" distL="114300" distR="114300">
                  <wp:extent cx="1133475" cy="2133600"/>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133475" cy="21336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is </w:t>
            </w:r>
            <w:r w:rsidDel="00000000" w:rsidR="00000000" w:rsidRPr="00000000">
              <w:rPr>
                <w:b w:val="1"/>
                <w:rtl w:val="0"/>
              </w:rPr>
              <w:t xml:space="preserve">no formal assessment</w:t>
            </w:r>
            <w:r w:rsidDel="00000000" w:rsidR="00000000" w:rsidRPr="00000000">
              <w:rPr>
                <w:rtl w:val="0"/>
              </w:rPr>
              <w:t xml:space="preserve"> and</w:t>
            </w:r>
            <w:r w:rsidDel="00000000" w:rsidR="00000000" w:rsidRPr="00000000">
              <w:rPr>
                <w:rtl w:val="0"/>
              </w:rPr>
              <w:t xml:space="preserve"> certificates are awarded for 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run the course, you must be a </w:t>
            </w:r>
            <w:r w:rsidDel="00000000" w:rsidR="00000000" w:rsidRPr="00000000">
              <w:rPr>
                <w:b w:val="1"/>
                <w:rtl w:val="0"/>
              </w:rPr>
              <w:t xml:space="preserve">qualified Heartstart instructor</w:t>
            </w:r>
            <w:r w:rsidDel="00000000" w:rsidR="00000000" w:rsidRPr="00000000">
              <w:rPr>
                <w:rtl w:val="0"/>
              </w:rPr>
              <w:t xml:space="preserve">. This process varies so contact your Wing First Aid Officer for more details (if you are qualified to instruct YFA, it’s likely that you will be able to run Heartstart with minimal extra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BHF provides </w:t>
            </w:r>
            <w:r w:rsidDel="00000000" w:rsidR="00000000" w:rsidRPr="00000000">
              <w:rPr>
                <w:b w:val="1"/>
                <w:rtl w:val="0"/>
              </w:rPr>
              <w:t xml:space="preserve">training resources</w:t>
            </w:r>
            <w:r w:rsidDel="00000000" w:rsidR="00000000" w:rsidRPr="00000000">
              <w:rPr>
                <w:rtl w:val="0"/>
              </w:rPr>
              <w:t xml:space="preserve"> including a ‘Buying Time’ DVD that covers the main topics. They also provide training manikins (‘Resusci Annes’) and a limited supply of consumables (lungs, wipes etc.) Your Wing First Aid Officer should have more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770.0" w:type="dxa"/>
        <w:jc w:val="left"/>
        <w:tblInd w:w="100.0" w:type="pct"/>
        <w:tblLayout w:type="fixed"/>
        <w:tblLook w:val="0600"/>
      </w:tblPr>
      <w:tblGrid>
        <w:gridCol w:w="9285"/>
        <w:gridCol w:w="1485"/>
        <w:tblGridChange w:id="0">
          <w:tblGrid>
            <w:gridCol w:w="9285"/>
            <w:gridCol w:w="148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240" w:lineRule="auto"/>
              <w:contextualSpacing w:val="0"/>
              <w:rPr/>
            </w:pPr>
            <w:bookmarkStart w:colFirst="0" w:colLast="0" w:name="_tdomdaiuwl69" w:id="1"/>
            <w:bookmarkEnd w:id="1"/>
            <w:r w:rsidDel="00000000" w:rsidR="00000000" w:rsidRPr="00000000">
              <w:rPr>
                <w:rtl w:val="0"/>
              </w:rPr>
              <w:t xml:space="preserve">Competitions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First aid competitions are usually held at Wing and Region Competition Days. Teams and individuals are judged on their response to a variety of first aid scenarios, which may include realistic casualty simulations, props and multi-casualty scenes.</w:t>
            </w:r>
          </w:p>
        </w:tc>
        <w:tc>
          <w:tcPr>
            <w:shd w:fill="d9d9d9" w:val="clear"/>
            <w:tcMar>
              <w:top w:w="99.77952755905513" w:type="dxa"/>
              <w:left w:w="99.77952755905513" w:type="dxa"/>
              <w:bottom w:w="99.77952755905513" w:type="dxa"/>
              <w:right w:w="99.77952755905513" w:type="dxa"/>
            </w:tcMar>
            <w:vAlign w:val="top"/>
          </w:tcPr>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i w:val="0"/>
                <w:smallCaps w:val="0"/>
                <w:strike w:val="0"/>
                <w:color w:val="000000"/>
                <w:sz w:val="26"/>
                <w:szCs w:val="26"/>
                <w:u w:val="none"/>
                <w:shd w:fill="auto" w:val="clear"/>
                <w:vertAlign w:val="baseline"/>
              </w:rPr>
            </w:pPr>
            <w:bookmarkStart w:colFirst="0" w:colLast="0" w:name="_tdomdaiuwl69" w:id="1"/>
            <w:bookmarkEnd w:id="1"/>
            <w:r w:rsidDel="00000000" w:rsidR="00000000" w:rsidRPr="00000000">
              <w:rPr/>
              <w:drawing>
                <wp:inline distB="114300" distT="114300" distL="114300" distR="114300">
                  <wp:extent cx="623488" cy="833438"/>
                  <wp:effectExtent b="0" l="0" r="0" t="0"/>
                  <wp:docPr descr="trophy.png" id="1" name="image6.png"/>
                  <a:graphic>
                    <a:graphicData uri="http://schemas.openxmlformats.org/drawingml/2006/picture">
                      <pic:pic>
                        <pic:nvPicPr>
                          <pic:cNvPr descr="trophy.png" id="0" name="image6.png"/>
                          <pic:cNvPicPr preferRelativeResize="0"/>
                        </pic:nvPicPr>
                        <pic:blipFill>
                          <a:blip r:embed="rId10"/>
                          <a:srcRect b="0" l="0" r="0" t="0"/>
                          <a:stretch>
                            <a:fillRect/>
                          </a:stretch>
                        </pic:blipFill>
                        <pic:spPr>
                          <a:xfrm>
                            <a:off x="0" y="0"/>
                            <a:ext cx="623488" cy="833438"/>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774.0" w:type="dxa"/>
        <w:jc w:val="left"/>
        <w:tblInd w:w="100.0" w:type="pct"/>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b w:val="1"/>
                <w:color w:val="d90931"/>
                <w:sz w:val="24"/>
                <w:szCs w:val="24"/>
              </w:rPr>
            </w:pPr>
            <w:r w:rsidDel="00000000" w:rsidR="00000000" w:rsidRPr="00000000">
              <w:rPr>
                <w:b w:val="1"/>
                <w:color w:val="ffffff"/>
                <w:sz w:val="24"/>
                <w:szCs w:val="24"/>
                <w:rtl w:val="0"/>
              </w:rPr>
              <w:t xml:space="preserve">April 2014</w:t>
            </w:r>
            <w:r w:rsidDel="00000000" w:rsidR="00000000" w:rsidRPr="00000000">
              <w:rPr>
                <w:rtl w:val="0"/>
              </w:rPr>
            </w:r>
          </w:p>
        </w:tc>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color w:val="ffffff"/>
                <w:sz w:val="24"/>
                <w:szCs w:val="24"/>
              </w:rPr>
            </w:pPr>
            <w:r w:rsidDel="00000000" w:rsidR="00000000" w:rsidRPr="00000000">
              <w:rPr>
                <w:rFonts w:ascii="Impact" w:cs="Impact" w:eastAsia="Impact" w:hAnsi="Impact"/>
                <w:color w:val="d90931"/>
                <w:sz w:val="24"/>
                <w:szCs w:val="24"/>
                <w:rtl w:val="0"/>
              </w:rPr>
              <w:t xml:space="preserve">Get Into</w:t>
            </w:r>
            <w:r w:rsidDel="00000000" w:rsidR="00000000" w:rsidRPr="00000000">
              <w:rPr>
                <w:rFonts w:ascii="Impact" w:cs="Impact" w:eastAsia="Impact" w:hAnsi="Impact"/>
                <w:color w:val="ffffff"/>
                <w:sz w:val="24"/>
                <w:szCs w:val="24"/>
                <w:rtl w:val="0"/>
              </w:rPr>
              <w:t xml:space="preserve"> FIRST AID</w:t>
            </w:r>
            <w:r w:rsidDel="00000000" w:rsidR="00000000" w:rsidRPr="00000000">
              <w:rPr>
                <w:rtl w:val="0"/>
              </w:rPr>
            </w:r>
          </w:p>
        </w:tc>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b w:val="1"/>
                <w:color w:val="ffffff"/>
                <w:sz w:val="24"/>
                <w:szCs w:val="24"/>
              </w:rPr>
            </w:pPr>
            <w:r w:rsidDel="00000000" w:rsidR="00000000" w:rsidRPr="00000000">
              <w:rPr>
                <w:b w:val="1"/>
                <w:color w:val="ffffff"/>
                <w:sz w:val="24"/>
                <w:szCs w:val="24"/>
                <w:rtl w:val="0"/>
              </w:rPr>
              <w:t xml:space="preserve">ACC Edition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o1bfblmjt3o1" w:id="2"/>
      <w:bookmarkEnd w:id="2"/>
      <w:r w:rsidDel="00000000" w:rsidR="00000000" w:rsidRPr="00000000">
        <w:rPr>
          <w:rtl w:val="0"/>
        </w:rPr>
        <w:t xml:space="preserve">2. Youth First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8"/>
        <w:tblW w:w="10770.0" w:type="dxa"/>
        <w:jc w:val="left"/>
        <w:tblInd w:w="0.0" w:type="pct"/>
        <w:tblLayout w:type="fixed"/>
        <w:tblLook w:val="0600"/>
      </w:tblPr>
      <w:tblGrid>
        <w:gridCol w:w="7125"/>
        <w:gridCol w:w="3645"/>
        <w:tblGridChange w:id="0">
          <w:tblGrid>
            <w:gridCol w:w="7125"/>
            <w:gridCol w:w="364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Successful completion of a Youth First Aid (YFA) course entitles cadets to wear the </w:t>
            </w:r>
            <w:r w:rsidDel="00000000" w:rsidR="00000000" w:rsidRPr="00000000">
              <w:rPr>
                <w:b w:val="1"/>
                <w:rtl w:val="0"/>
              </w:rPr>
              <w:t xml:space="preserve">red YFA badge</w:t>
            </w:r>
            <w:r w:rsidDel="00000000" w:rsidR="00000000" w:rsidRPr="00000000">
              <w:rPr>
                <w:rtl w:val="0"/>
              </w:rPr>
              <w:t xml:space="preserve"> on their brassard. It requires a minimum of </w:t>
              <w:br w:type="textWrapping"/>
            </w:r>
            <w:r w:rsidDel="00000000" w:rsidR="00000000" w:rsidRPr="00000000">
              <w:rPr>
                <w:b w:val="1"/>
                <w:rtl w:val="0"/>
              </w:rPr>
              <w:t xml:space="preserve">12 hours</w:t>
            </w:r>
            <w:r w:rsidDel="00000000" w:rsidR="00000000" w:rsidRPr="00000000">
              <w:rPr>
                <w:rtl w:val="0"/>
              </w:rPr>
              <w:t xml:space="preserve"> to teach and assess, but is usually delivered as a 2-day weekend course or spread across several parade nights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ACTO 8 specifies a minimum instructor to student ratio of 1:12, and a minimum assessor to student ratio of 1:6. Assessors “must not have any input to the training of the cadets being assessed”</w:t>
            </w:r>
            <w:r w:rsidDel="00000000" w:rsidR="00000000" w:rsidRPr="00000000">
              <w:rPr>
                <w:vertAlign w:val="superscript"/>
              </w:rPr>
              <w:footnoteReference w:customMarkFollows="0" w:id="1"/>
            </w:r>
            <w:r w:rsidDel="00000000" w:rsidR="00000000" w:rsidRPr="00000000">
              <w:rPr>
                <w:rtl w:val="0"/>
              </w:rPr>
              <w:t xml:space="preserve">, and must hold an accepted First Aid qualification</w:t>
            </w:r>
            <w:r w:rsidDel="00000000" w:rsidR="00000000" w:rsidRPr="00000000">
              <w:rPr>
                <w:vertAlign w:val="superscript"/>
              </w:rPr>
              <w:footnoteReference w:customMarkFollows="0" w:id="2"/>
            </w:r>
            <w:r w:rsidDel="00000000" w:rsidR="00000000" w:rsidRPr="00000000">
              <w:rPr>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right"/>
              <w:rPr/>
            </w:pPr>
            <w:r w:rsidDel="00000000" w:rsidR="00000000" w:rsidRPr="00000000">
              <w:rPr/>
              <w:drawing>
                <wp:inline distB="114300" distT="114300" distL="114300" distR="114300">
                  <wp:extent cx="2105025" cy="1485900"/>
                  <wp:effectExtent b="0" l="0" r="0" t="0"/>
                  <wp:docPr id="6"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2105025" cy="14859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Unicode MS" w:cs="Arial Unicode MS" w:eastAsia="Arial Unicode MS" w:hAnsi="Arial Unicode MS"/>
          <w:rtl w:val="0"/>
        </w:rPr>
        <w:t xml:space="preserve">The YFA syllabus covers the following topics: (topics marked with ✱ are formally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9"/>
        <w:tblW w:w="11595.0" w:type="dxa"/>
        <w:jc w:val="left"/>
        <w:tblInd w:w="-465.0" w:type="dxa"/>
        <w:tblLayout w:type="fixed"/>
        <w:tblLook w:val="0600"/>
      </w:tblPr>
      <w:tblGrid>
        <w:gridCol w:w="2070"/>
        <w:gridCol w:w="3000"/>
        <w:gridCol w:w="3135"/>
        <w:gridCol w:w="3390"/>
        <w:tblGridChange w:id="0">
          <w:tblGrid>
            <w:gridCol w:w="2070"/>
            <w:gridCol w:w="3000"/>
            <w:gridCol w:w="3135"/>
            <w:gridCol w:w="339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047750" cy="1047750"/>
                  <wp:effectExtent b="0" l="0" r="0" t="0"/>
                  <wp:docPr id="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047750" cy="104775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Asthma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Bites and stings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Bleeding (minor)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Arial Unicode MS" w:cs="Arial Unicode MS" w:eastAsia="Arial Unicode MS" w:hAnsi="Arial Unicode MS"/>
                <w:b w:val="1"/>
                <w:rtl w:val="0"/>
              </w:rPr>
              <w:t xml:space="preserve">      ✱   Bleeding and shock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Bone, muscle and joint injuries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Burns and scalds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Chest pains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Choking</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Communication and casualty care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Coping in an emergency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Electric shock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Fainting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First aid kit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Foreign objects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Head injuries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Heat exhaustion</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Hypothermia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Low blood sugar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Poisons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Arial Unicode MS" w:cs="Arial Unicode MS" w:eastAsia="Arial Unicode MS" w:hAnsi="Arial Unicode MS"/>
                <w:b w:val="1"/>
                <w:rtl w:val="0"/>
              </w:rPr>
              <w:t xml:space="preserve">      ✱   Primary survey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Arial Unicode MS" w:cs="Arial Unicode MS" w:eastAsia="Arial Unicode MS" w:hAnsi="Arial Unicode MS"/>
                <w:b w:val="1"/>
                <w:rtl w:val="0"/>
              </w:rPr>
              <w:t xml:space="preserve">      ✱   Recovery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Arial Unicode MS" w:cs="Arial Unicode MS" w:eastAsia="Arial Unicode MS" w:hAnsi="Arial Unicode MS"/>
                <w:b w:val="1"/>
                <w:rtl w:val="0"/>
              </w:rPr>
              <w:t xml:space="preserve">      ✱   Resuscitation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Seizures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Severe allergic reaction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0"/>
              <w:rPr/>
            </w:pPr>
            <w:r w:rsidDel="00000000" w:rsidR="00000000" w:rsidRPr="00000000">
              <w:rPr>
                <w:rtl w:val="0"/>
              </w:rPr>
              <w:t xml:space="preserve">Spinal injury</w:t>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z72sfca3617y" w:id="3"/>
      <w:bookmarkEnd w:id="3"/>
      <w:r w:rsidDel="00000000" w:rsidR="00000000" w:rsidRPr="00000000">
        <w:rPr>
          <w:rtl w:val="0"/>
        </w:rPr>
        <w:t xml:space="preserve">3. Activity First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10"/>
        <w:tblW w:w="10770.0" w:type="dxa"/>
        <w:jc w:val="left"/>
        <w:tblInd w:w="0.0" w:type="pct"/>
        <w:tblLayout w:type="fixed"/>
        <w:tblLook w:val="0600"/>
      </w:tblPr>
      <w:tblGrid>
        <w:gridCol w:w="8280"/>
        <w:gridCol w:w="2490"/>
        <w:tblGridChange w:id="0">
          <w:tblGrid>
            <w:gridCol w:w="8280"/>
            <w:gridCol w:w="2490"/>
          </w:tblGrid>
        </w:tblGridChange>
      </w:tblGrid>
      <w:tr>
        <w:trPr>
          <w:trHeight w:val="21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AFA holders can provide the </w:t>
            </w:r>
            <w:r w:rsidDel="00000000" w:rsidR="00000000" w:rsidRPr="00000000">
              <w:rPr>
                <w:b w:val="1"/>
                <w:rtl w:val="0"/>
              </w:rPr>
              <w:t xml:space="preserve">minimum permitted level of first aid cover</w:t>
            </w:r>
            <w:r w:rsidDel="00000000" w:rsidR="00000000" w:rsidRPr="00000000">
              <w:rPr>
                <w:rtl w:val="0"/>
              </w:rPr>
              <w:t xml:space="preserve"> for cadets at most activities</w:t>
            </w:r>
            <w:r w:rsidDel="00000000" w:rsidR="00000000" w:rsidRPr="00000000">
              <w:rPr>
                <w:vertAlign w:val="superscript"/>
              </w:rPr>
              <w:footnoteReference w:customMarkFollows="0" w:id="3"/>
            </w:r>
            <w:r w:rsidDel="00000000" w:rsidR="00000000" w:rsidRPr="00000000">
              <w:rPr>
                <w:vertAlign w:val="superscript"/>
                <w:rtl w:val="0"/>
              </w:rPr>
              <w:t xml:space="preserve">,</w:t>
            </w:r>
            <w:r w:rsidDel="00000000" w:rsidR="00000000" w:rsidRPr="00000000">
              <w:rPr>
                <w:rtl w:val="0"/>
              </w:rPr>
              <w:t xml:space="preserve">​</w:t>
            </w:r>
            <w:r w:rsidDel="00000000" w:rsidR="00000000" w:rsidRPr="00000000">
              <w:rPr>
                <w:vertAlign w:val="superscript"/>
              </w:rPr>
              <w:footnoteReference w:customMarkFollows="0" w:id="4"/>
            </w:r>
            <w:r w:rsidDel="00000000" w:rsidR="00000000" w:rsidRPr="00000000">
              <w:rPr>
                <w:rtl w:val="0"/>
              </w:rPr>
              <w:t xml:space="preserve">. The qualification also allows instructor cadets and staff to </w:t>
            </w:r>
            <w:r w:rsidDel="00000000" w:rsidR="00000000" w:rsidRPr="00000000">
              <w:rPr>
                <w:b w:val="1"/>
                <w:rtl w:val="0"/>
              </w:rPr>
              <w:t xml:space="preserve">teach and assess</w:t>
            </w:r>
            <w:r w:rsidDel="00000000" w:rsidR="00000000" w:rsidRPr="00000000">
              <w:rPr>
                <w:rtl w:val="0"/>
              </w:rPr>
              <w:t xml:space="preserve"> the YFA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AFA takes a minimum of </w:t>
            </w:r>
            <w:r w:rsidDel="00000000" w:rsidR="00000000" w:rsidRPr="00000000">
              <w:rPr>
                <w:b w:val="1"/>
                <w:rtl w:val="0"/>
              </w:rPr>
              <w:t xml:space="preserve">16 hours</w:t>
            </w:r>
            <w:r w:rsidDel="00000000" w:rsidR="00000000" w:rsidRPr="00000000">
              <w:rPr>
                <w:rtl w:val="0"/>
              </w:rPr>
              <w:t xml:space="preserve"> to teach and assess, and is usually delivered as a weekend course at wing level. AFA is a </w:t>
            </w:r>
            <w:r w:rsidDel="00000000" w:rsidR="00000000" w:rsidRPr="00000000">
              <w:rPr>
                <w:b w:val="1"/>
                <w:rtl w:val="0"/>
              </w:rPr>
              <w:t xml:space="preserve">nationally-recognised qualification</w:t>
            </w:r>
            <w:r w:rsidDel="00000000" w:rsidR="00000000" w:rsidRPr="00000000">
              <w:rPr>
                <w:rtl w:val="0"/>
              </w:rPr>
              <w:t xml:space="preserve">, but is separate and unrelated to First Aid At Work (FAAW). Trainers and assessors must be recognised and registered with SJA.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right"/>
              <w:rPr/>
            </w:pPr>
            <w:r w:rsidDel="00000000" w:rsidR="00000000" w:rsidRPr="00000000">
              <w:rPr/>
              <w:drawing>
                <wp:inline distB="114300" distT="114300" distL="114300" distR="114300">
                  <wp:extent cx="1300163" cy="1300163"/>
                  <wp:effectExtent b="0" l="0" r="0" t="0"/>
                  <wp:docPr descr="FAGreenBadge.jpg" id="5" name="image12.jpg"/>
                  <a:graphic>
                    <a:graphicData uri="http://schemas.openxmlformats.org/drawingml/2006/picture">
                      <pic:pic>
                        <pic:nvPicPr>
                          <pic:cNvPr descr="FAGreenBadge.jpg" id="0" name="image12.jpg"/>
                          <pic:cNvPicPr preferRelativeResize="0"/>
                        </pic:nvPicPr>
                        <pic:blipFill>
                          <a:blip r:embed="rId13"/>
                          <a:srcRect b="0" l="0" r="0" t="0"/>
                          <a:stretch>
                            <a:fillRect/>
                          </a:stretch>
                        </pic:blipFill>
                        <pic:spPr>
                          <a:xfrm>
                            <a:off x="0" y="0"/>
                            <a:ext cx="1300163" cy="1300163"/>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sz w:val="16"/>
          <w:szCs w:val="16"/>
        </w:rPr>
      </w:pPr>
      <w:r w:rsidDel="00000000" w:rsidR="00000000" w:rsidRPr="00000000">
        <w:rPr>
          <w:rtl w:val="0"/>
        </w:rPr>
      </w:r>
    </w:p>
    <w:tbl>
      <w:tblPr>
        <w:tblStyle w:val="Table12"/>
        <w:tblW w:w="10774.0" w:type="dxa"/>
        <w:jc w:val="left"/>
        <w:tblInd w:w="100.0" w:type="pct"/>
        <w:tblLayout w:type="fixed"/>
        <w:tblLook w:val="0600"/>
      </w:tblPr>
      <w:tblGrid>
        <w:gridCol w:w="10774"/>
        <w:tblGridChange w:id="0">
          <w:tblGrid>
            <w:gridCol w:w="10774"/>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Fonts w:ascii="Trebuchet MS" w:cs="Trebuchet MS" w:eastAsia="Trebuchet MS" w:hAnsi="Trebuchet MS"/>
                <w:b w:val="1"/>
                <w:sz w:val="26"/>
                <w:szCs w:val="26"/>
                <w:rtl w:val="0"/>
              </w:rPr>
              <w:t xml:space="preserve">The next steps...</w:t>
            </w:r>
            <w:r w:rsidDel="00000000" w:rsidR="00000000" w:rsidRPr="00000000">
              <w:rPr>
                <w:rtl w:val="0"/>
              </w:rPr>
            </w:r>
          </w:p>
          <w:tbl>
            <w:tblPr>
              <w:tblStyle w:val="Table11"/>
              <w:tblW w:w="10530.0" w:type="dxa"/>
              <w:jc w:val="left"/>
              <w:tblLayout w:type="fixed"/>
              <w:tblLook w:val="0600"/>
            </w:tblPr>
            <w:tblGrid>
              <w:gridCol w:w="3165"/>
              <w:gridCol w:w="3915"/>
              <w:gridCol w:w="3450"/>
              <w:tblGridChange w:id="0">
                <w:tblGrid>
                  <w:gridCol w:w="3165"/>
                  <w:gridCol w:w="3915"/>
                  <w:gridCol w:w="3450"/>
                </w:tblGrid>
              </w:tblGridChange>
            </w:tblGrid>
            <w:tr>
              <w:tc>
                <w:tcPr>
                  <w:shd w:fill="ffe599" w:val="clear"/>
                  <w:tcMar>
                    <w:top w:w="0.0" w:type="dxa"/>
                    <w:left w:w="0.0" w:type="dxa"/>
                    <w:bottom w:w="0.0" w:type="dxa"/>
                    <w:right w:w="0.0" w:type="dxa"/>
                  </w:tcMar>
                  <w:vAlign w:val="top"/>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Contact your </w:t>
                    <w:br w:type="textWrapping"/>
                    <w:t xml:space="preserve">Wing FA Officer</w:t>
                  </w:r>
                </w:p>
              </w:tc>
              <w:tc>
                <w:tcPr>
                  <w:shd w:fill="ffe599"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Attend an AFA course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YFA &amp; HS course training</w:t>
                  </w:r>
                </w:p>
              </w:tc>
              <w:tc>
                <w:tcPr>
                  <w:shd w:fill="ffe599"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Organise / assist with </w:t>
                    <w:br w:type="textWrapping"/>
                    <w:t xml:space="preserve">YFA &amp; HS courses!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rtl w:val="0"/>
              </w:rPr>
              <w:t xml:space="preserve">Some wings organise the BTEC Level 3 Award in Education and Training</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(formerly PTTLS) course in conjunction with First Aid training. Some wings also provide further FA training, including casualty simulation, FAAW or EAD courses.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566.9291338582677" w:top="566.9291338582677"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Delivering the training across several parade nights allows it to count towards a cadet’s DofE Award skills section.</w:t>
      </w:r>
    </w:p>
  </w:footnote>
  <w:footnote w:id="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ACTO 8, para. 15.</w:t>
      </w:r>
    </w:p>
  </w:footnote>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ACTO 8, Annex B.</w:t>
      </w:r>
    </w:p>
  </w:footnote>
  <w:footnote w:id="5">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ACTO 26, para. 5.</w:t>
      </w:r>
    </w:p>
  </w:footnote>
  <w:footnote w:id="3">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JSP 535 (Cadet Training Safety Precautions), Part II (Training Safety), para. 108.</w:t>
      </w:r>
    </w:p>
  </w:footnote>
  <w:footnote w:id="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PAM 21C, chapter 2, section 2, para. 232.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6.png"/><Relationship Id="rId13" Type="http://schemas.openxmlformats.org/officeDocument/2006/relationships/image" Target="media/image12.jpg"/><Relationship Id="rId12" Type="http://schemas.openxmlformats.org/officeDocument/2006/relationships/image" Target="media/image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hyperlink" Target="http://aircadetcentral.net/" TargetMode="External"/><Relationship Id="rId8" Type="http://schemas.openxmlformats.org/officeDocument/2006/relationships/image" Target="media/image11.jpg"/></Relationships>
</file>